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BF" w:rsidRPr="00AA2CBF" w:rsidRDefault="00AA2CBF" w:rsidP="00AA2CB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A2CBF" w:rsidRPr="00AA2CBF" w:rsidRDefault="00AA2CBF" w:rsidP="00AA2CB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A2CBF" w:rsidRPr="00AA2CBF" w:rsidRDefault="00AA2CBF" w:rsidP="00AA2C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2CBF" w:rsidRPr="00AA2CBF" w:rsidRDefault="00AA2CBF" w:rsidP="00AA2C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A2CBF" w:rsidRPr="00AA2CBF" w:rsidRDefault="00AA2CBF" w:rsidP="00AA2C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A2CBF" w:rsidRPr="00AA2CBF" w:rsidRDefault="00AA2CBF" w:rsidP="00AA2C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Изменения, которые вносятся в</w:t>
      </w:r>
    </w:p>
    <w:p w:rsidR="00AA2CBF" w:rsidRPr="00AA2CBF" w:rsidRDefault="00AA2CBF" w:rsidP="00AA2C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благоустройства территории</w:t>
      </w:r>
    </w:p>
    <w:p w:rsidR="00AA2CBF" w:rsidRPr="00AA2CBF" w:rsidRDefault="00AA2CBF" w:rsidP="00AA2C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Котельники Московской области</w:t>
      </w:r>
    </w:p>
    <w:p w:rsidR="00AA2CBF" w:rsidRPr="00AA2CBF" w:rsidRDefault="00AA2CBF" w:rsidP="00AA2C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Правила благоустройства территории городского округа Котельники Московской области, утвержденные решением Совета депутатов городского округа Котельники Московской области от 15 августа 2018 года                      № 10/65 (в ред. решений Совета депутатов городского округа Котельники Московской области от 22.05.2019 № 3/80,  от 09.10.2019 № 3/2, от 12.08.2020                      № 1/17, от 11.11.2020 № 8/21, от 19.05.2021 № 2/29, от 11.08.2021 № 2/31,                            от 16.12.2021 № 4/37, от 09.06.2022 № 1/46, от 09.08.2022 № 5/49,  следующие изменения:</w:t>
      </w:r>
    </w:p>
    <w:p w:rsidR="00AA2CBF" w:rsidRPr="00AA2CBF" w:rsidRDefault="00AA2CBF" w:rsidP="00AA2C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Статью 1.3 «Основные понятия» Раздела </w:t>
      </w:r>
      <w:r w:rsidRPr="00AA2CB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«Общие положения» дополнить абзацем следующего содержания: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«элементы озеленения - зеленые насаждения (как мобильные, так и стационарные).»;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Части 1, 2 статьи 2.36 «Обеспечение сохранности зеленых насаждений» изложить в следующей редакции: </w:t>
      </w:r>
    </w:p>
    <w:p w:rsidR="00AA2CBF" w:rsidRPr="00AA2CBF" w:rsidRDefault="00AA2CBF" w:rsidP="00AA2CB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>«1. Посадка или пересадка деревьев и кустарников на объектах, указанных в подпунктах «г», «д» пункта 1 статьи 1.6_1 настоящих Правил, допускается при наличии разрешительной документации, выданной органом местного самоуправления, в следующих случаях: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посадки или пересадки деревьев и кустарников на прилегающих территориях собственниками (правообладателями) зданий, помещений в них, строений, сооружений, земельных участков, участвующими в содержании таких прилегающих территорий;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посадки деревьев и кустарников физическими, юридическими лицами без предоставления земельных участков и установления сервитутов;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посадки деревьев и кустарников физическими, юридическими лицами, производящими компенсационное озеленение.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Вырубка деревьев и кустарников производится только на основании разрешения на вырубку зеленых насаждений, выданного органом местного самоуправления.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>Случаи и порядок выдачи разрешения на вырубку зеленых насаждений определяются правилами благоустройства муниципального образования.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Разрешение на вырубку зеленых насаждений в отношении плодово-ягодных деревьев, декоративных и плодово-ягодных кустарников на земельных участках, находящихся в частной собственности и предназначенных для ведения садоводства и огородничества, индивидуального жилищного строительства, не требуется.»;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 Статью 3.7 «Содержание зеленых насаждений» изложить в следующей редакции: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«Статья 3.7 Содержание зеленых насаждений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Юридические лица (индивидуальные предприниматели) и физические лица обязаны обеспечивать содержание зеленых насаждений, расположенных на земельных участках, находящихся в их собственности, владении или пользовании, и прилегающей территории, а также обеспечивать их удовлетворительное состояние и развитие.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Требования к организации озеленения территорий муниципальных образований,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растениями, устанавливаются настоящими Правилами.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>3. Санитарная и омолаживающая обрезка деревьев и кустарников должна производиться в осенний и (или) весенний периоды в зависимости от вида растений до начала сокодвижения с обязательным учетом возраста растений, особенностей их роста и цветения.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Деревья с повреждениями ствола или кроны более 50 процентов подлежат санитарной вырубке.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Удаление частей деревьев, кустарников (порубочных остатков) с территории проведения вырубки обеспечивается лицом, в отношении которого оформлено разрешение на вырубку зеленых насаждений, в течение суток с момента проведения вырубки.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Побелка стволов деревьев на территориях общего пользования допускается на отдельных объектах благоустройства, где предъявляются повышенные санитарные и другие специальные требования (в том числе возле общественных туалетов, контейнерных площадок, производств с особой спецификой работ) только известью или специальными составами.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При содержании объектов благоустройства должны соблюдаться основные требования к стрижке (кошению) травы: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высота травы на газонах не может составлять более 20 см;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высота травы в газонных решетках на экологических плоскостных открытых стоянках автомобилей и парковках не может составлять более 5 см;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высота травы на луговом и мавританском газоне вдоль внутриквартальных, внутридворовых, хозяйственных и иных подобных проездов, пешеходных коммуникаций, обочин, вокруг отмостки, опор освещения, площадок, некапитальных строений, сооружений, средств размещения информации, рекламных конструкций, объектов дорожного и придорожного сервиса, а также на разделительных полосах автомобильных дорог, полосах отвода наземных линейных объектов не может составлять более 50 см. Ширина полосы кошения в указанных в настоящем пункте случаях не может составлять менее 1,5 м.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Окошенная трава с территории проведения покоса должна быть удалена в течение трех суток со дня проведения покоса.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Окошенная трава, собранные в период листопада листья должны быть убраны на расстояние не менее 2 метров от твердого (усовершенствованного) </w:t>
      </w: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покрытия проезжей части, пешеходных коммуникаций, объектов инфраструктуры для велосипедного движения и вывезены на специально оборудованные полигоны или предприятия.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Погибшие и потерявшие декоративность растения в цветниках, в контейнерах для озеленения должны удаляться сразу с одновременной подсадкой новых растений либо иным декоративным оформлением.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Не допускается проезд, размещение и хранение транспортных средств на участках с зелеными насаждениями на дворовых и общественных территориях, внутридворовых и внутриквартальных проездах, на цветниках и участках с травянистой растительностью искусственного происхождения.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На территориях муниципальных образований запрещается: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допускать посадку, распространение, возобновление, воспроизводство инвазивных вредных зеленых насаждений;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высаживать и пересаживать зеленые насаждения с визуально определяемыми признаками заселения и поражения вредителями и болезнями;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самовольная вырубка и пересадка деревьев и кустарников;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повреждать и уничтожать растения на территориях общего пользования;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прикреплять к стволам деревьев и кустарников щиты, объявления, листовки, иные информационные материалы и посторонние предметы;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сбрасывать окошенную траву, порубочные остатки, листья в смотровые колодцы, колодцы дождевой канализации, дождеприемные решетки, дренажные траншеи, водоотводные лотки, на твердые (усовершенствованные) покрытия проезжей части, пешеходные коммуникации, объекты инфраструктуры для велосипедного движения, площадки, отмостки, в водные объекты.»; </w:t>
      </w:r>
    </w:p>
    <w:p w:rsidR="00AA2CBF" w:rsidRPr="00AA2CBF" w:rsidRDefault="00AA2CBF" w:rsidP="00AA2C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В части 1 статьи 5.1 «Определение границ прилегающих территорий»: </w:t>
      </w:r>
    </w:p>
    <w:p w:rsidR="00AA2CBF" w:rsidRPr="00AA2CBF" w:rsidRDefault="00AA2CBF" w:rsidP="00AA2CBF">
      <w:pPr>
        <w:spacing w:after="0" w:line="240" w:lineRule="auto"/>
        <w:ind w:firstLine="708"/>
        <w:jc w:val="both"/>
      </w:pPr>
      <w:r w:rsidRPr="00AA2CBF">
        <w:rPr>
          <w:rFonts w:ascii="Times New Roman" w:eastAsia="Calibri" w:hAnsi="Times New Roman" w:cs="Times New Roman"/>
          <w:sz w:val="28"/>
          <w:szCs w:val="28"/>
          <w:lang w:eastAsia="ru-RU"/>
        </w:rPr>
        <w:t>а) в абзаце первом пункта 3 слова «(малоэтажной многоквартирной жилой застройки, среднеэтажной жилой застройки, многоэтажной жилой застройки)» исключить</w:t>
      </w:r>
    </w:p>
    <w:p w:rsidR="008C36A8" w:rsidRDefault="00AA2CBF"/>
    <w:sectPr w:rsidR="008C36A8" w:rsidSect="001D4B36">
      <w:headerReference w:type="default" r:id="rId4"/>
      <w:pgSz w:w="11906" w:h="16838"/>
      <w:pgMar w:top="1134" w:right="566" w:bottom="993" w:left="1418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BB" w:rsidRDefault="00AA2CB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C70BB" w:rsidRDefault="00AA2C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8503E"/>
    <w:rsid w:val="007372BC"/>
    <w:rsid w:val="00AA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7E49"/>
  <w15:chartTrackingRefBased/>
  <w15:docId w15:val="{9C53082F-40BE-494F-978E-2B49F76A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C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A2C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ЛяховецЕГ</cp:lastModifiedBy>
  <cp:revision>1</cp:revision>
  <dcterms:created xsi:type="dcterms:W3CDTF">2022-10-25T09:50:00Z</dcterms:created>
  <dcterms:modified xsi:type="dcterms:W3CDTF">2022-10-25T09:51:00Z</dcterms:modified>
</cp:coreProperties>
</file>